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1BE27436" w:rsidR="00A83146" w:rsidRPr="00A95256" w:rsidRDefault="00FD63A3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u w:val="single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0000002" w14:textId="77777777" w:rsidR="00A83146" w:rsidRPr="00A95256" w:rsidRDefault="00FD63A3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95256">
        <w:rPr>
          <w:rFonts w:ascii="Times New Roman" w:eastAsia="Arial" w:hAnsi="Times New Roman" w:cs="Times New Roman"/>
          <w:b/>
          <w:sz w:val="28"/>
          <w:szCs w:val="28"/>
        </w:rPr>
        <w:t>Правила</w:t>
      </w:r>
    </w:p>
    <w:p w14:paraId="00000003" w14:textId="6AE07F77" w:rsidR="00A83146" w:rsidRPr="00A95256" w:rsidRDefault="00FD63A3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95256">
        <w:rPr>
          <w:rFonts w:ascii="Times New Roman" w:eastAsia="Arial" w:hAnsi="Times New Roman" w:cs="Times New Roman"/>
          <w:b/>
          <w:sz w:val="28"/>
          <w:szCs w:val="28"/>
        </w:rPr>
        <w:t xml:space="preserve"> за избор на членове на Обществения съвет към Комисията за прякото участие на гражданите и взаимодействието с гражданското общество в 4</w:t>
      </w:r>
      <w:r w:rsidR="00AB2E60" w:rsidRPr="00A95256">
        <w:rPr>
          <w:rFonts w:ascii="Times New Roman" w:eastAsia="Arial" w:hAnsi="Times New Roman" w:cs="Times New Roman"/>
          <w:b/>
          <w:sz w:val="28"/>
          <w:szCs w:val="28"/>
          <w:lang w:val="en-US"/>
        </w:rPr>
        <w:t>9</w:t>
      </w:r>
      <w:r w:rsidRPr="00A95256">
        <w:rPr>
          <w:rFonts w:ascii="Times New Roman" w:eastAsia="Arial" w:hAnsi="Times New Roman" w:cs="Times New Roman"/>
          <w:b/>
          <w:sz w:val="28"/>
          <w:szCs w:val="28"/>
        </w:rPr>
        <w:t>-то Народно събрание</w:t>
      </w:r>
    </w:p>
    <w:p w14:paraId="00000004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Чл.1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Настоящите правила уреждат критериите и процедурата за предлагане и избиране на представители на неправителствените организации за членове на Обществения съвет към Комисията за прякото участие на гражданите и взаимодействието с гражданското общество, наричана за краткост по-нататък „Комисията“.</w:t>
      </w:r>
    </w:p>
    <w:p w14:paraId="00000005" w14:textId="62C0B2DA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Чл.2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 xml:space="preserve">(1) </w:t>
      </w:r>
      <w:r w:rsidRPr="00A95256">
        <w:rPr>
          <w:rFonts w:ascii="Times New Roman" w:eastAsia="Arial" w:hAnsi="Times New Roman" w:cs="Times New Roman"/>
          <w:sz w:val="24"/>
          <w:szCs w:val="24"/>
        </w:rPr>
        <w:t>Общественият съвет е консултативен орган към Комисията, създаден съгласно чл. 2</w:t>
      </w:r>
      <w:r w:rsidR="006039E0" w:rsidRPr="00A95256">
        <w:rPr>
          <w:rFonts w:ascii="Times New Roman" w:eastAsia="Arial" w:hAnsi="Times New Roman" w:cs="Times New Roman"/>
          <w:sz w:val="24"/>
          <w:szCs w:val="24"/>
        </w:rPr>
        <w:t>3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, ал.3 от ПОДНС и </w:t>
      </w:r>
      <w:r w:rsidR="006039E0" w:rsidRPr="00A95256">
        <w:rPr>
          <w:rFonts w:ascii="Times New Roman" w:eastAsia="Arial" w:hAnsi="Times New Roman" w:cs="Times New Roman"/>
          <w:sz w:val="24"/>
          <w:szCs w:val="24"/>
        </w:rPr>
        <w:t>Глава трета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от Вътрешните правила за работа на Комисията.</w:t>
      </w:r>
    </w:p>
    <w:p w14:paraId="00000006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(2)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Общественият съвет е форма на партньорство между Народното събрание и структурите на гражданското общество с цел засилване на прозрачността в законодателния процес и осигуряване на обществено наблюдение и контрол върху дейността на законодателния орган.</w:t>
      </w:r>
    </w:p>
    <w:p w14:paraId="00000007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(3)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Участието на представители на неправителствените организации се осъществява на доброволен принцип.</w:t>
      </w:r>
    </w:p>
    <w:p w14:paraId="00000008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Чл.3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 xml:space="preserve">(1) </w:t>
      </w:r>
      <w:r w:rsidRPr="00A95256">
        <w:rPr>
          <w:rFonts w:ascii="Times New Roman" w:eastAsia="Arial" w:hAnsi="Times New Roman" w:cs="Times New Roman"/>
          <w:sz w:val="24"/>
          <w:szCs w:val="24"/>
        </w:rPr>
        <w:t>Общественият съвет се състои от 21 члена – физически лица, представители на неправителствени организации.</w:t>
      </w:r>
    </w:p>
    <w:p w14:paraId="00000009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 xml:space="preserve"> (2)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Неправителствените организации могат да предлагат представители в Обществения съвет, ако отговарят на следните условия:</w:t>
      </w:r>
    </w:p>
    <w:p w14:paraId="0000000A" w14:textId="77777777" w:rsidR="00A83146" w:rsidRPr="00A95256" w:rsidRDefault="00FD63A3">
      <w:pPr>
        <w:numPr>
          <w:ilvl w:val="0"/>
          <w:numId w:val="1"/>
        </w:num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 xml:space="preserve">Са регистрирани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за извършване на общественополезна дейност 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при условията и по реда на Закона за юридическите лица с нестопанска цел и са осъществявали своята дейност не по-малко от 3 години преди датата на подаване на заявлението за участие с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предмет на дейност </w:t>
      </w:r>
      <w:r w:rsidRPr="00A95256">
        <w:rPr>
          <w:rFonts w:ascii="Times New Roman" w:eastAsia="Arial" w:hAnsi="Times New Roman" w:cs="Times New Roman"/>
          <w:sz w:val="24"/>
          <w:szCs w:val="24"/>
        </w:rPr>
        <w:t>в поне една от следните области:</w:t>
      </w:r>
    </w:p>
    <w:p w14:paraId="0000000B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Развитие на гражданското общество;</w:t>
      </w:r>
    </w:p>
    <w:p w14:paraId="0000000C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Правни въпроси и борба с корупцията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0000000D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Правосъдие,</w:t>
      </w:r>
      <w:r w:rsidRPr="00A95256">
        <w:rPr>
          <w:rFonts w:ascii="Times New Roman" w:eastAsia="Arial" w:hAnsi="Times New Roman" w:cs="Times New Roman"/>
          <w:color w:val="0000FF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въ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трешна сигурност, обществен ред и отбрана;</w:t>
      </w:r>
    </w:p>
    <w:p w14:paraId="0000000E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Икономическо развитие,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иновации, финанси и туризъм;</w:t>
      </w:r>
    </w:p>
    <w:p w14:paraId="0000000F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Социална политика и пазар на труда;</w:t>
      </w:r>
    </w:p>
    <w:p w14:paraId="00000010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Здравеопазване;</w:t>
      </w:r>
    </w:p>
    <w:p w14:paraId="00000011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Образование и наука;</w:t>
      </w:r>
    </w:p>
    <w:p w14:paraId="00000012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Култура;</w:t>
      </w:r>
    </w:p>
    <w:p w14:paraId="00000013" w14:textId="648813A3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Физическо възпитание, спорт,;</w:t>
      </w:r>
    </w:p>
    <w:p w14:paraId="00000014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Екология и околна среда;</w:t>
      </w:r>
    </w:p>
    <w:p w14:paraId="00000015" w14:textId="472A3A6D" w:rsidR="00A83146" w:rsidRPr="00A95256" w:rsidRDefault="00603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Земеделие</w:t>
      </w:r>
      <w:r w:rsidR="00FD63A3"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;</w:t>
      </w:r>
    </w:p>
    <w:p w14:paraId="00000016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Регионално и местно развитие;</w:t>
      </w:r>
    </w:p>
    <w:p w14:paraId="00000017" w14:textId="0366D670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Транспорт ;</w:t>
      </w:r>
    </w:p>
    <w:p w14:paraId="00000018" w14:textId="51C775C2" w:rsidR="00A83146" w:rsidRPr="00A95256" w:rsidRDefault="00603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Младежки въпроси и политики</w:t>
      </w:r>
      <w:r w:rsidR="00FD63A3" w:rsidRPr="00A95256">
        <w:rPr>
          <w:rFonts w:ascii="Times New Roman" w:eastAsia="Arial" w:hAnsi="Times New Roman" w:cs="Times New Roman"/>
          <w:sz w:val="24"/>
          <w:szCs w:val="24"/>
        </w:rPr>
        <w:t>;</w:t>
      </w:r>
    </w:p>
    <w:p w14:paraId="00000019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Защита правата на човека и борба с дискриминацията;</w:t>
      </w:r>
    </w:p>
    <w:p w14:paraId="0000001A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Защита правата на децата;</w:t>
      </w:r>
    </w:p>
    <w:p w14:paraId="0000001B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Международни въпроси;</w:t>
      </w:r>
    </w:p>
    <w:p w14:paraId="0000001C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Политики за българите в чужбина;</w:t>
      </w:r>
    </w:p>
    <w:p w14:paraId="0000001D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Етнически въпроси и миграция;</w:t>
      </w:r>
    </w:p>
    <w:p w14:paraId="0000001E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Дарителство и </w:t>
      </w:r>
      <w:proofErr w:type="spellStart"/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доброволчество</w:t>
      </w:r>
      <w:proofErr w:type="spellEnd"/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0000001F" w14:textId="77777777" w:rsidR="00A83146" w:rsidRPr="00A95256" w:rsidRDefault="00FD63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Електронно управление и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информационни технологии</w:t>
      </w:r>
      <w:r w:rsidRPr="00A95256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20" w14:textId="77777777" w:rsidR="00A83146" w:rsidRPr="00A95256" w:rsidRDefault="00A83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21" w14:textId="77777777" w:rsidR="00A83146" w:rsidRPr="00A95256" w:rsidRDefault="00FD6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Имат опит в разработването, изпълнението, мониторинга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или оценката на стратегии, програми, проекти и политики в посочената област.</w:t>
      </w:r>
    </w:p>
    <w:p w14:paraId="00000022" w14:textId="77777777" w:rsidR="00A83146" w:rsidRPr="00A95256" w:rsidRDefault="00FD6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Притежават експертен капацитет.</w:t>
      </w:r>
    </w:p>
    <w:p w14:paraId="00000023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Чл.4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 xml:space="preserve">(1) 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Комисията отправя публична покана за участие в Обществения съвет на неправителствени организации, която се публикува на официалната Интернет страница на Народното събрание в раздела на Комисията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 на Информационния портал за неправителствените организации в България.</w:t>
      </w:r>
    </w:p>
    <w:p w14:paraId="00000024" w14:textId="3DB307F5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(2)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Заявлението за участие и придружаващите го документи се подават в срок до </w:t>
      </w:r>
      <w:r w:rsidR="00EA0971">
        <w:rPr>
          <w:rFonts w:ascii="Times New Roman" w:eastAsia="Arial" w:hAnsi="Times New Roman" w:cs="Times New Roman"/>
          <w:b/>
          <w:sz w:val="24"/>
          <w:szCs w:val="24"/>
          <w:u w:val="single"/>
          <w:lang w:val="en-US"/>
        </w:rPr>
        <w:t xml:space="preserve">19 </w:t>
      </w:r>
      <w:r w:rsidR="00EA0971">
        <w:rPr>
          <w:rFonts w:ascii="Times New Roman" w:eastAsia="Arial" w:hAnsi="Times New Roman" w:cs="Times New Roman"/>
          <w:b/>
          <w:sz w:val="24"/>
          <w:szCs w:val="24"/>
          <w:u w:val="single"/>
        </w:rPr>
        <w:t>юни 2</w:t>
      </w:r>
      <w:bookmarkStart w:id="0" w:name="_GoBack"/>
      <w:bookmarkEnd w:id="0"/>
      <w:r w:rsidR="00AB2E60" w:rsidRPr="00A95256">
        <w:rPr>
          <w:rFonts w:ascii="Times New Roman" w:eastAsia="Arial" w:hAnsi="Times New Roman" w:cs="Times New Roman"/>
          <w:b/>
          <w:sz w:val="24"/>
          <w:szCs w:val="24"/>
          <w:u w:val="single"/>
        </w:rPr>
        <w:t>023 г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., на имейла на Комисията: </w:t>
      </w:r>
      <w:hyperlink r:id="rId8" w:history="1">
        <w:r w:rsidR="00AB2E60" w:rsidRPr="00A95256">
          <w:rPr>
            <w:rStyle w:val="Hyperlink"/>
            <w:rFonts w:ascii="Times New Roman" w:eastAsia="Arial" w:hAnsi="Times New Roman" w:cs="Times New Roman"/>
            <w:sz w:val="24"/>
            <w:szCs w:val="24"/>
          </w:rPr>
          <w:t>49</w:t>
        </w:r>
        <w:r w:rsidR="00AB2E60" w:rsidRPr="00A95256">
          <w:rPr>
            <w:rStyle w:val="Hyperlink"/>
            <w:rFonts w:ascii="Times New Roman" w:eastAsia="Arial" w:hAnsi="Times New Roman" w:cs="Times New Roman"/>
            <w:sz w:val="24"/>
            <w:szCs w:val="24"/>
            <w:lang w:val="en-US"/>
          </w:rPr>
          <w:t>_</w:t>
        </w:r>
        <w:r w:rsidR="00AB2E60" w:rsidRPr="00A95256">
          <w:rPr>
            <w:rStyle w:val="Hyperlink"/>
            <w:rFonts w:ascii="Times New Roman" w:eastAsia="Arial" w:hAnsi="Times New Roman" w:cs="Times New Roman"/>
            <w:sz w:val="24"/>
            <w:szCs w:val="24"/>
          </w:rPr>
          <w:t>kpugvgo@parliament.bg</w:t>
        </w:r>
      </w:hyperlink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</w:t>
      </w:r>
      <w:r w:rsidRPr="00A95256">
        <w:rPr>
          <w:rFonts w:ascii="Times New Roman" w:eastAsia="Arial" w:hAnsi="Times New Roman" w:cs="Times New Roman"/>
          <w:sz w:val="24"/>
          <w:szCs w:val="24"/>
        </w:rPr>
        <w:t>ли на адрес: град София, пл. “Княз Александър I“ №1, Комисия за прякото участие на гражданите и взаимодействието с гражданското общество, Народно събрание на Република България.</w:t>
      </w:r>
    </w:p>
    <w:p w14:paraId="00000025" w14:textId="369E9522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Чл.5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За участие в Обществения съвет към Комисията за прякото участие на гражданите и взаимодействието с гражданското общество се подават</w:t>
      </w:r>
      <w:r w:rsidR="006039E0" w:rsidRPr="00A95256">
        <w:rPr>
          <w:rFonts w:ascii="Times New Roman" w:eastAsia="Arial" w:hAnsi="Times New Roman" w:cs="Times New Roman"/>
          <w:sz w:val="24"/>
          <w:szCs w:val="24"/>
        </w:rPr>
        <w:t xml:space="preserve"> следните документи в Комисията:</w:t>
      </w:r>
    </w:p>
    <w:p w14:paraId="00000026" w14:textId="77777777" w:rsidR="00A83146" w:rsidRPr="00A95256" w:rsidRDefault="00FD63A3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 xml:space="preserve">1. Заявление по образец /Приложение №1/; </w:t>
      </w:r>
    </w:p>
    <w:p w14:paraId="00000027" w14:textId="4F8532EF" w:rsidR="00A83146" w:rsidRPr="00A95256" w:rsidRDefault="00FD63A3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 xml:space="preserve">2. Удостоверение за актуално състояние (за НПО непререгистрирани в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Търговския регистър и регистъра на ЮЛНЦ);</w:t>
      </w:r>
    </w:p>
    <w:p w14:paraId="00000028" w14:textId="77777777" w:rsidR="00A83146" w:rsidRPr="00A95256" w:rsidRDefault="00FD63A3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3. Удостоверение от Общината по седалище на ЮЛНЦ за наличие или липса на задължения съгласно чл.87, ал.6 ДОПК, във връзка с Закона за местните данъци и такси чл.4, ал.1, чл.4, ал.3 , чл.9а, ал.1 и чл.9б;</w:t>
      </w:r>
    </w:p>
    <w:p w14:paraId="00000029" w14:textId="77777777" w:rsidR="00A83146" w:rsidRPr="00A95256" w:rsidRDefault="00FD63A3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4. Удостоверение от НАП за наличие или липса на задължения съгласно чл.87, ал.6 във връзка с чл. 162, ал.2, т.1 от ДОПК;</w:t>
      </w:r>
    </w:p>
    <w:p w14:paraId="0000002A" w14:textId="04363D11" w:rsidR="00A83146" w:rsidRPr="00A95256" w:rsidRDefault="00AB2E60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5. Годишен </w:t>
      </w:r>
      <w:r w:rsidR="00FD63A3"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доклад за дейността по чл.40, ал.2 от ЗЮ</w:t>
      </w:r>
      <w:r w:rsidR="00FD63A3" w:rsidRPr="00A95256">
        <w:rPr>
          <w:rFonts w:ascii="Times New Roman" w:eastAsia="Arial" w:hAnsi="Times New Roman" w:cs="Times New Roman"/>
          <w:sz w:val="24"/>
          <w:szCs w:val="24"/>
        </w:rPr>
        <w:t>ЛНЦ на неправителствените организации за 20</w:t>
      </w:r>
      <w:r w:rsidRPr="00A95256">
        <w:rPr>
          <w:rFonts w:ascii="Times New Roman" w:eastAsia="Arial" w:hAnsi="Times New Roman" w:cs="Times New Roman"/>
          <w:sz w:val="24"/>
          <w:szCs w:val="24"/>
        </w:rPr>
        <w:t>22</w:t>
      </w:r>
      <w:r w:rsidR="00FD63A3" w:rsidRPr="00A95256">
        <w:rPr>
          <w:rFonts w:ascii="Times New Roman" w:eastAsia="Arial" w:hAnsi="Times New Roman" w:cs="Times New Roman"/>
          <w:sz w:val="24"/>
          <w:szCs w:val="24"/>
        </w:rPr>
        <w:t xml:space="preserve">  г.;</w:t>
      </w:r>
      <w:r w:rsidR="00403B90" w:rsidRPr="00A95256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403B90" w:rsidRPr="00A95256">
        <w:rPr>
          <w:rFonts w:ascii="Times New Roman" w:eastAsia="Arial" w:hAnsi="Times New Roman" w:cs="Times New Roman"/>
          <w:sz w:val="24"/>
          <w:szCs w:val="24"/>
        </w:rPr>
        <w:t>(на електронен носител)</w:t>
      </w:r>
    </w:p>
    <w:p w14:paraId="0000002B" w14:textId="77777777" w:rsidR="00A83146" w:rsidRPr="00A95256" w:rsidRDefault="00FD63A3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6. Копие от решението на компетентния управителен орган на юридическото лице за номиниране на съответния кандидат за член на ОС;</w:t>
      </w:r>
    </w:p>
    <w:p w14:paraId="0000002C" w14:textId="77777777" w:rsidR="00A83146" w:rsidRPr="00A95256" w:rsidRDefault="00FD63A3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sz w:val="24"/>
          <w:szCs w:val="24"/>
        </w:rPr>
        <w:t>7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 w:rsidRPr="00A95256">
        <w:rPr>
          <w:rFonts w:ascii="Times New Roman" w:eastAsia="Arial" w:hAnsi="Times New Roman" w:cs="Times New Roman"/>
          <w:sz w:val="24"/>
          <w:szCs w:val="24"/>
        </w:rPr>
        <w:t>Резюме на основните инициативи на организацията през последните 3 години, както и приоритетите ѝ в областта на компетентност, за която се заявява като член.</w:t>
      </w:r>
    </w:p>
    <w:p w14:paraId="0000002D" w14:textId="352538E4" w:rsidR="00A83146" w:rsidRPr="00A95256" w:rsidRDefault="00FD63A3" w:rsidP="006039E0">
      <w:pPr>
        <w:spacing w:line="240" w:lineRule="auto"/>
        <w:ind w:left="360" w:firstLine="3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Чл.6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>(1)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В срок от 7 дни след крайния срок за подаване на заявления Комисията извършва проверка за съответствието на постъпилите документи с изискванията на чл. 3 и 5.</w:t>
      </w:r>
    </w:p>
    <w:p w14:paraId="0000002E" w14:textId="30FB6735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(2</w:t>
      </w:r>
      <w:r w:rsidRPr="00A95256">
        <w:rPr>
          <w:rFonts w:ascii="Times New Roman" w:eastAsia="Arial" w:hAnsi="Times New Roman" w:cs="Times New Roman"/>
          <w:sz w:val="24"/>
          <w:szCs w:val="24"/>
        </w:rPr>
        <w:t>)</w:t>
      </w:r>
      <w:r w:rsidR="00401446" w:rsidRPr="00A95256">
        <w:rPr>
          <w:rFonts w:ascii="Times New Roman" w:eastAsia="Arial" w:hAnsi="Times New Roman" w:cs="Times New Roman"/>
          <w:sz w:val="24"/>
          <w:szCs w:val="24"/>
        </w:rPr>
        <w:t xml:space="preserve"> Списъкът по областите на компетентност на организациите</w:t>
      </w:r>
      <w:r w:rsidR="001E0729">
        <w:rPr>
          <w:rFonts w:ascii="Times New Roman" w:eastAsia="Arial" w:hAnsi="Times New Roman" w:cs="Times New Roman"/>
          <w:sz w:val="24"/>
          <w:szCs w:val="24"/>
        </w:rPr>
        <w:t>,</w:t>
      </w:r>
      <w:r w:rsidR="00401446" w:rsidRPr="00A95256">
        <w:rPr>
          <w:rFonts w:ascii="Times New Roman" w:eastAsia="Arial" w:hAnsi="Times New Roman" w:cs="Times New Roman"/>
          <w:sz w:val="24"/>
          <w:szCs w:val="24"/>
        </w:rPr>
        <w:t xml:space="preserve"> отговарящи на изискванията</w:t>
      </w:r>
      <w:r w:rsidR="001E0729">
        <w:rPr>
          <w:rFonts w:ascii="Times New Roman" w:eastAsia="Arial" w:hAnsi="Times New Roman" w:cs="Times New Roman"/>
          <w:sz w:val="24"/>
          <w:szCs w:val="24"/>
        </w:rPr>
        <w:t>,</w:t>
      </w:r>
      <w:r w:rsidR="00401446" w:rsidRPr="00A95256">
        <w:rPr>
          <w:rFonts w:ascii="Times New Roman" w:eastAsia="Arial" w:hAnsi="Times New Roman" w:cs="Times New Roman"/>
          <w:sz w:val="24"/>
          <w:szCs w:val="24"/>
        </w:rPr>
        <w:t xml:space="preserve"> се публикува на интернет страницата на Комисията, в срок от 7 дни  след изтичане на крайният срок за подаване на заявления. </w:t>
      </w:r>
    </w:p>
    <w:p w14:paraId="0000002F" w14:textId="374AE793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lastRenderedPageBreak/>
        <w:t>(3)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Комисията информира организациите</w:t>
      </w:r>
      <w:r w:rsidR="006039E0" w:rsidRPr="00A95256">
        <w:rPr>
          <w:rFonts w:ascii="Times New Roman" w:eastAsia="Arial" w:hAnsi="Times New Roman" w:cs="Times New Roman"/>
          <w:sz w:val="24"/>
          <w:szCs w:val="24"/>
        </w:rPr>
        <w:t xml:space="preserve"> за причините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6039E0" w:rsidRPr="00A95256">
        <w:rPr>
          <w:rFonts w:ascii="Times New Roman" w:eastAsia="Arial" w:hAnsi="Times New Roman" w:cs="Times New Roman"/>
          <w:sz w:val="24"/>
          <w:szCs w:val="24"/>
        </w:rPr>
        <w:t xml:space="preserve"> поради 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които не </w:t>
      </w:r>
      <w:r w:rsidR="006039E0" w:rsidRPr="00A95256">
        <w:rPr>
          <w:rFonts w:ascii="Times New Roman" w:eastAsia="Arial" w:hAnsi="Times New Roman" w:cs="Times New Roman"/>
          <w:sz w:val="24"/>
          <w:szCs w:val="24"/>
        </w:rPr>
        <w:t xml:space="preserve"> са допуснати за участие в про</w:t>
      </w:r>
      <w:r w:rsidR="00EA51AF" w:rsidRPr="00A95256">
        <w:rPr>
          <w:rFonts w:ascii="Times New Roman" w:eastAsia="Arial" w:hAnsi="Times New Roman" w:cs="Times New Roman"/>
          <w:sz w:val="24"/>
          <w:szCs w:val="24"/>
        </w:rPr>
        <w:t>ц</w:t>
      </w:r>
      <w:r w:rsidR="006039E0" w:rsidRPr="00A95256">
        <w:rPr>
          <w:rFonts w:ascii="Times New Roman" w:eastAsia="Arial" w:hAnsi="Times New Roman" w:cs="Times New Roman"/>
          <w:sz w:val="24"/>
          <w:szCs w:val="24"/>
        </w:rPr>
        <w:t>едурата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0000030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A95256">
        <w:rPr>
          <w:rFonts w:ascii="Times New Roman" w:eastAsia="Arial" w:hAnsi="Times New Roman" w:cs="Times New Roman"/>
          <w:b/>
          <w:sz w:val="24"/>
          <w:szCs w:val="24"/>
        </w:rPr>
        <w:t>Чл.7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>(1)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Организациите, които осъществяват дейност в една и съща област на компетентност, се представляват в Обществения съвет от един представител. </w:t>
      </w:r>
    </w:p>
    <w:p w14:paraId="00000031" w14:textId="3ABB53B8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(2)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 случаите когато за участие в Обществения съвет в една и съща област на компетентност са допуснати две или повече организации</w:t>
      </w:r>
      <w:r w:rsidR="006039E0"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Комисията им изпраща пок</w:t>
      </w:r>
      <w:r w:rsidR="006039E0"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ана да изберат един </w:t>
      </w:r>
      <w:r w:rsidRPr="00A95256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свой представител, който ще изразява техните интереси. </w:t>
      </w:r>
    </w:p>
    <w:p w14:paraId="00000032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(3)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Решението за избиране на представител на неправителствените организации се удостоверява с протокол и присъствен лист. Решението за избиране на представител в Обществения съвет се приема с обикновено мнозинство. </w:t>
      </w:r>
    </w:p>
    <w:p w14:paraId="00000033" w14:textId="77777777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(4)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В случай, че неправителствените организации не излъчат в определения срок представител, същият се определя от Комисията измежду всички допуснати до участие в съответната област по компетентност. Решението се приема с обикновено мнозинство.</w:t>
      </w:r>
    </w:p>
    <w:p w14:paraId="00000034" w14:textId="3F879F5F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Чл.8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Съставът на Обществения съвет се утвърждава с решение на Комисията</w:t>
      </w:r>
      <w:r w:rsidR="0071287E" w:rsidRPr="00A95256">
        <w:rPr>
          <w:rFonts w:ascii="Times New Roman" w:eastAsia="Arial" w:hAnsi="Times New Roman" w:cs="Times New Roman"/>
          <w:sz w:val="24"/>
          <w:szCs w:val="24"/>
        </w:rPr>
        <w:t>. Председателя на Обществения съвет</w:t>
      </w:r>
      <w:r w:rsidR="005540CD" w:rsidRPr="00A95256">
        <w:rPr>
          <w:rFonts w:ascii="Times New Roman" w:eastAsia="Arial" w:hAnsi="Times New Roman" w:cs="Times New Roman"/>
          <w:sz w:val="24"/>
          <w:szCs w:val="24"/>
        </w:rPr>
        <w:t xml:space="preserve"> се избира от Комисията по предложение, направено от организациите от утвърдения състав на Обществения съвет,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в съответствие на чл.</w:t>
      </w:r>
      <w:r w:rsidR="005540CD" w:rsidRPr="00A95256">
        <w:rPr>
          <w:rFonts w:ascii="Times New Roman" w:eastAsia="Arial" w:hAnsi="Times New Roman" w:cs="Times New Roman"/>
          <w:sz w:val="24"/>
          <w:szCs w:val="24"/>
        </w:rPr>
        <w:t>17</w:t>
      </w:r>
      <w:r w:rsidRPr="00A95256">
        <w:rPr>
          <w:rFonts w:ascii="Times New Roman" w:eastAsia="Arial" w:hAnsi="Times New Roman" w:cs="Times New Roman"/>
          <w:sz w:val="24"/>
          <w:szCs w:val="24"/>
        </w:rPr>
        <w:t>, ал.3 от Вътрешните правила за работа на Комисията и се обявява публично на интернет страницата на Комисията.</w:t>
      </w:r>
    </w:p>
    <w:p w14:paraId="00000036" w14:textId="1CC93B39" w:rsidR="00A83146" w:rsidRPr="00A95256" w:rsidRDefault="00FD63A3">
      <w:pPr>
        <w:spacing w:line="240" w:lineRule="auto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Чл.</w:t>
      </w:r>
      <w:r w:rsidR="006039E0" w:rsidRPr="00A95256"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 xml:space="preserve"> (1) </w:t>
      </w:r>
      <w:r w:rsidRPr="00A95256">
        <w:rPr>
          <w:rFonts w:ascii="Times New Roman" w:eastAsia="Arial" w:hAnsi="Times New Roman" w:cs="Times New Roman"/>
          <w:sz w:val="24"/>
          <w:szCs w:val="24"/>
        </w:rPr>
        <w:t>Участието на организация-член на Обществения съвет се прекратява при:</w:t>
      </w:r>
    </w:p>
    <w:p w14:paraId="00000037" w14:textId="77777777" w:rsidR="00A83146" w:rsidRPr="00A95256" w:rsidRDefault="00FD63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Подаване на писмено заявление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от представляващия организацията;</w:t>
      </w:r>
    </w:p>
    <w:p w14:paraId="00000038" w14:textId="77777777" w:rsidR="00A83146" w:rsidRPr="00A95256" w:rsidRDefault="00FD63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Най</w:t>
      </w:r>
      <w:r w:rsidRPr="00A95256">
        <w:rPr>
          <w:rFonts w:ascii="Times New Roman" w:eastAsia="Arial" w:hAnsi="Times New Roman" w:cs="Times New Roman"/>
          <w:sz w:val="24"/>
          <w:szCs w:val="24"/>
        </w:rPr>
        <w:t>-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много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при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три поредни отсъствия от заседанията на Обществения съвет без уважителни причини;</w:t>
      </w:r>
    </w:p>
    <w:p w14:paraId="00000039" w14:textId="77777777" w:rsidR="00A83146" w:rsidRPr="00A95256" w:rsidRDefault="00FD63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При обявяване на организацията в несъстоятелност или ликвидация</w:t>
      </w:r>
      <w:r w:rsidRPr="00A95256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3A" w14:textId="77777777" w:rsidR="00A83146" w:rsidRPr="00A95256" w:rsidRDefault="00A831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000003B" w14:textId="2D0DE02B" w:rsidR="00A83146" w:rsidRPr="00A95256" w:rsidRDefault="00FD6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(2)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При прекратяване</w:t>
      </w:r>
      <w:r w:rsidRPr="00A952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по ал. 1 на участието на член на Обществения съвет, неправителствените организации от съответната област на компетентност излъчват нов пр</w:t>
      </w:r>
      <w:r w:rsidR="006039E0"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едставител по реда на чл. 7 от П</w:t>
      </w:r>
      <w:r w:rsidRPr="00A95256">
        <w:rPr>
          <w:rFonts w:ascii="Times New Roman" w:eastAsia="Arial" w:hAnsi="Times New Roman" w:cs="Times New Roman"/>
          <w:color w:val="000000"/>
          <w:sz w:val="24"/>
          <w:szCs w:val="24"/>
        </w:rPr>
        <w:t>равилата за избор на членове на ОС към Комисията</w:t>
      </w:r>
      <w:r w:rsidR="0091037A" w:rsidRPr="00A95256">
        <w:rPr>
          <w:rFonts w:ascii="Times New Roman" w:eastAsia="Arial" w:hAnsi="Times New Roman" w:cs="Times New Roman"/>
          <w:sz w:val="24"/>
          <w:szCs w:val="24"/>
        </w:rPr>
        <w:t>.</w:t>
      </w:r>
    </w:p>
    <w:p w14:paraId="0000003E" w14:textId="2382B0C7" w:rsidR="00A83146" w:rsidRPr="00A95256" w:rsidRDefault="00FD63A3" w:rsidP="0099239A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95256">
        <w:rPr>
          <w:rFonts w:ascii="Times New Roman" w:eastAsia="Arial" w:hAnsi="Times New Roman" w:cs="Times New Roman"/>
          <w:b/>
          <w:sz w:val="24"/>
          <w:szCs w:val="24"/>
        </w:rPr>
        <w:t>Настоящите правила и критерии се приемат на основание чл.</w:t>
      </w:r>
      <w:r w:rsidR="0099239A" w:rsidRPr="00A95256">
        <w:rPr>
          <w:rFonts w:ascii="Times New Roman" w:eastAsia="Arial" w:hAnsi="Times New Roman" w:cs="Times New Roman"/>
          <w:b/>
          <w:sz w:val="24"/>
          <w:szCs w:val="24"/>
        </w:rPr>
        <w:t>17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 xml:space="preserve"> от Вътрешните правила</w:t>
      </w:r>
      <w:r w:rsidRPr="00A95256">
        <w:rPr>
          <w:rFonts w:ascii="Times New Roman" w:eastAsia="Arial" w:hAnsi="Times New Roman" w:cs="Times New Roman"/>
          <w:b/>
          <w:color w:val="FF0000"/>
          <w:sz w:val="24"/>
          <w:szCs w:val="24"/>
        </w:rPr>
        <w:t xml:space="preserve"> 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>за работа на Комисията за прякото участие на гражданите и взаимодействието с гражданското общество в 4</w:t>
      </w:r>
      <w:r w:rsidR="0091037A" w:rsidRPr="00A95256">
        <w:rPr>
          <w:rFonts w:ascii="Times New Roman" w:eastAsia="Arial" w:hAnsi="Times New Roman" w:cs="Times New Roman"/>
          <w:b/>
          <w:sz w:val="24"/>
          <w:szCs w:val="24"/>
        </w:rPr>
        <w:t>9</w:t>
      </w:r>
      <w:r w:rsidRPr="00A95256">
        <w:rPr>
          <w:rFonts w:ascii="Times New Roman" w:eastAsia="Arial" w:hAnsi="Times New Roman" w:cs="Times New Roman"/>
          <w:b/>
          <w:sz w:val="24"/>
          <w:szCs w:val="24"/>
        </w:rPr>
        <w:t>-то Народно събрание.</w:t>
      </w:r>
    </w:p>
    <w:sectPr w:rsidR="00A83146" w:rsidRPr="00A95256" w:rsidSect="00EA2623">
      <w:pgSz w:w="12240" w:h="15840"/>
      <w:pgMar w:top="851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2082"/>
    <w:multiLevelType w:val="multilevel"/>
    <w:tmpl w:val="BFF22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83565"/>
    <w:multiLevelType w:val="multilevel"/>
    <w:tmpl w:val="3508E0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36E0FED"/>
    <w:multiLevelType w:val="multilevel"/>
    <w:tmpl w:val="5D96C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3146"/>
    <w:rsid w:val="00023B6E"/>
    <w:rsid w:val="001678DC"/>
    <w:rsid w:val="00184D18"/>
    <w:rsid w:val="001E0729"/>
    <w:rsid w:val="002A0F88"/>
    <w:rsid w:val="00383BD7"/>
    <w:rsid w:val="003C693F"/>
    <w:rsid w:val="003F6D3C"/>
    <w:rsid w:val="00401446"/>
    <w:rsid w:val="00403B90"/>
    <w:rsid w:val="005540CD"/>
    <w:rsid w:val="006039E0"/>
    <w:rsid w:val="006238FA"/>
    <w:rsid w:val="006567A1"/>
    <w:rsid w:val="0071287E"/>
    <w:rsid w:val="0091037A"/>
    <w:rsid w:val="0099239A"/>
    <w:rsid w:val="009A679D"/>
    <w:rsid w:val="00A31904"/>
    <w:rsid w:val="00A47AB6"/>
    <w:rsid w:val="00A83146"/>
    <w:rsid w:val="00A95256"/>
    <w:rsid w:val="00AB2E60"/>
    <w:rsid w:val="00C44366"/>
    <w:rsid w:val="00C44D8D"/>
    <w:rsid w:val="00C51941"/>
    <w:rsid w:val="00C64CFE"/>
    <w:rsid w:val="00CE6213"/>
    <w:rsid w:val="00E15C57"/>
    <w:rsid w:val="00E16BEA"/>
    <w:rsid w:val="00E431FB"/>
    <w:rsid w:val="00EA0971"/>
    <w:rsid w:val="00EA2623"/>
    <w:rsid w:val="00EA51AF"/>
    <w:rsid w:val="00FD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F"/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512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0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39"/>
    <w:rPr>
      <w:rFonts w:ascii="Tahoma" w:eastAsia="Times New Roman" w:hAnsi="Tahoma" w:cs="Tahoma"/>
      <w:sz w:val="16"/>
      <w:szCs w:val="16"/>
      <w:lang w:val="bg-BG"/>
    </w:rPr>
  </w:style>
  <w:style w:type="character" w:styleId="Strong">
    <w:name w:val="Strong"/>
    <w:basedOn w:val="DefaultParagraphFont"/>
    <w:uiPriority w:val="22"/>
    <w:qFormat/>
    <w:rsid w:val="0007732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F"/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512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0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39"/>
    <w:rPr>
      <w:rFonts w:ascii="Tahoma" w:eastAsia="Times New Roman" w:hAnsi="Tahoma" w:cs="Tahoma"/>
      <w:sz w:val="16"/>
      <w:szCs w:val="16"/>
      <w:lang w:val="bg-BG"/>
    </w:rPr>
  </w:style>
  <w:style w:type="character" w:styleId="Strong">
    <w:name w:val="Strong"/>
    <w:basedOn w:val="DefaultParagraphFont"/>
    <w:uiPriority w:val="22"/>
    <w:qFormat/>
    <w:rsid w:val="0007732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9_kpugvgo@parliament.bg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ckTYQqHE3t3I1XU0gdKV+7LVg==">AMUW2mXzux9rxpdxY/MV8iacSVXDnJGQAamu9cFokmFlDiQMPtsWPHhaFpl2zxXMbmzlkxl3R7Wj7BMnl0tC50yU353xJcAevdwX5feDQnIfESLdxDoS8hFGBzoM7nFTk0/8/JK4zs8C8IFUqkn+eRfhJjtiPIX2IqwHmC0rYrfRCewrR59FNua3t7KHMxAZlmSLQlESRBaXEEOFGofNfrjvI0vKJc1PsyLEy7t0A8n/YI+6cTbwIH4=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213D7A-24DC-46ED-8910-1B6E28AD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 Ivanova</dc:creator>
  <cp:lastModifiedBy>Lilya Ivanova</cp:lastModifiedBy>
  <cp:revision>10</cp:revision>
  <cp:lastPrinted>2022-11-10T08:15:00Z</cp:lastPrinted>
  <dcterms:created xsi:type="dcterms:W3CDTF">2023-05-12T06:10:00Z</dcterms:created>
  <dcterms:modified xsi:type="dcterms:W3CDTF">2023-05-18T09:50:00Z</dcterms:modified>
</cp:coreProperties>
</file>